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5F5F" w14:textId="77777777" w:rsidR="00B65021" w:rsidRPr="00B65021" w:rsidRDefault="00B65021" w:rsidP="00EE3087">
      <w:pPr>
        <w:jc w:val="both"/>
        <w:rPr>
          <w:rFonts w:ascii="Calibri" w:hAnsi="Calibri" w:cs="Calibri"/>
          <w:b/>
          <w:bCs/>
        </w:rPr>
      </w:pPr>
    </w:p>
    <w:p w14:paraId="3E22A3B4" w14:textId="12649F60" w:rsidR="00B65021" w:rsidRPr="00B65021" w:rsidRDefault="00B65021" w:rsidP="00EE3087">
      <w:pPr>
        <w:jc w:val="both"/>
        <w:rPr>
          <w:rFonts w:ascii="Calibri" w:hAnsi="Calibri" w:cs="Calibri"/>
          <w:i/>
          <w:iCs/>
        </w:rPr>
      </w:pPr>
      <w:r w:rsidRPr="00B65021">
        <w:rPr>
          <w:rFonts w:ascii="Calibri" w:hAnsi="Calibri" w:cs="Calibri"/>
          <w:i/>
          <w:iCs/>
        </w:rPr>
        <w:t>Javni razpis za sofinanciranje pilotnega projekta Zelene tovorne logistike</w:t>
      </w:r>
    </w:p>
    <w:p w14:paraId="53D2CC4A" w14:textId="77777777" w:rsidR="00B65021" w:rsidRDefault="00B65021" w:rsidP="00EE3087">
      <w:pPr>
        <w:jc w:val="both"/>
        <w:rPr>
          <w:rFonts w:ascii="Calibri" w:hAnsi="Calibri" w:cs="Calibri"/>
          <w:b/>
          <w:bCs/>
        </w:rPr>
      </w:pPr>
    </w:p>
    <w:p w14:paraId="2778C51C" w14:textId="0EC228A0" w:rsidR="00B65021" w:rsidRPr="00B65021" w:rsidRDefault="00B65021" w:rsidP="00EE3087">
      <w:pPr>
        <w:jc w:val="both"/>
        <w:rPr>
          <w:rFonts w:ascii="Calibri" w:hAnsi="Calibri" w:cs="Calibri"/>
          <w:b/>
          <w:bCs/>
          <w:sz w:val="24"/>
          <w:szCs w:val="24"/>
        </w:rPr>
      </w:pPr>
      <w:r w:rsidRPr="00B65021">
        <w:rPr>
          <w:rFonts w:ascii="Calibri" w:hAnsi="Calibri" w:cs="Calibri"/>
          <w:b/>
          <w:bCs/>
          <w:sz w:val="24"/>
          <w:szCs w:val="24"/>
        </w:rPr>
        <w:t xml:space="preserve">Obrazec št. </w:t>
      </w:r>
      <w:r w:rsidR="00EE3087">
        <w:rPr>
          <w:rFonts w:ascii="Calibri" w:hAnsi="Calibri" w:cs="Calibri"/>
          <w:b/>
          <w:bCs/>
          <w:sz w:val="24"/>
          <w:szCs w:val="24"/>
        </w:rPr>
        <w:t>2</w:t>
      </w:r>
      <w:r w:rsidRPr="00B65021">
        <w:rPr>
          <w:rFonts w:ascii="Calibri" w:hAnsi="Calibri" w:cs="Calibri"/>
          <w:b/>
          <w:bCs/>
          <w:sz w:val="24"/>
          <w:szCs w:val="24"/>
        </w:rPr>
        <w:t>: Izjava o strinjanju in sprejemanju pogojev in zahtev javnega razpisa</w:t>
      </w:r>
    </w:p>
    <w:p w14:paraId="43F83B10" w14:textId="77777777" w:rsidR="00B65021" w:rsidRPr="00B65021" w:rsidRDefault="00B65021" w:rsidP="00EE3087">
      <w:pPr>
        <w:jc w:val="both"/>
        <w:rPr>
          <w:rFonts w:ascii="Calibri" w:hAnsi="Calibri" w:cs="Calibri"/>
          <w:b/>
          <w:bCs/>
        </w:rPr>
      </w:pPr>
    </w:p>
    <w:p w14:paraId="0D374FE6" w14:textId="4628BA4F" w:rsidR="00B65021" w:rsidRPr="00B65021" w:rsidRDefault="00B65021" w:rsidP="00EE3087">
      <w:pPr>
        <w:jc w:val="both"/>
        <w:rPr>
          <w:rFonts w:ascii="Calibri" w:hAnsi="Calibri" w:cs="Calibri"/>
          <w:u w:val="single"/>
        </w:rPr>
      </w:pPr>
      <w:r w:rsidRPr="00B65021">
        <w:rPr>
          <w:rFonts w:ascii="Calibri" w:hAnsi="Calibri" w:cs="Calibri"/>
        </w:rPr>
        <w:t xml:space="preserve">Vlagatelj (naziv): </w:t>
      </w:r>
      <w:r w:rsidRPr="00B65021">
        <w:rPr>
          <w:rFonts w:ascii="Calibri" w:hAnsi="Calibri" w:cs="Calibri"/>
          <w:u w:val="single"/>
        </w:rPr>
        <w:tab/>
        <w:t>________________________________________________________</w:t>
      </w:r>
      <w:r w:rsidR="00EE3087">
        <w:rPr>
          <w:rFonts w:ascii="Calibri" w:hAnsi="Calibri" w:cs="Calibri"/>
          <w:u w:val="single"/>
        </w:rPr>
        <w:t>______</w:t>
      </w:r>
    </w:p>
    <w:p w14:paraId="28E236EB" w14:textId="77777777" w:rsidR="00B65021" w:rsidRPr="00B65021" w:rsidRDefault="00B65021" w:rsidP="00EE3087">
      <w:pPr>
        <w:jc w:val="both"/>
        <w:rPr>
          <w:rFonts w:ascii="Calibri" w:hAnsi="Calibri" w:cs="Calibri"/>
          <w:u w:val="single"/>
        </w:rPr>
      </w:pPr>
    </w:p>
    <w:p w14:paraId="17F0384D" w14:textId="77777777" w:rsidR="00B65021" w:rsidRPr="00B65021" w:rsidRDefault="00B65021" w:rsidP="00EE3087">
      <w:pPr>
        <w:spacing w:after="54" w:line="300" w:lineRule="auto"/>
        <w:ind w:right="-139"/>
        <w:jc w:val="both"/>
        <w:rPr>
          <w:rFonts w:ascii="Calibri" w:hAnsi="Calibri" w:cs="Calibri"/>
        </w:rPr>
      </w:pPr>
      <w:r w:rsidRPr="00B65021">
        <w:rPr>
          <w:rFonts w:ascii="Calibri" w:hAnsi="Calibri" w:cs="Calibri"/>
          <w:b/>
        </w:rPr>
        <w:t xml:space="preserve">v postopku Javnega razpisa za sofinanciranje pilotnih projektov zelene tovorne logistike (oznaka: JR SPP ZTL), kot zakoniti zastopnik vlagatelja pod kazensko in materialno odgovornostjo dajem naslednjo </w:t>
      </w:r>
    </w:p>
    <w:p w14:paraId="75AC8FE7" w14:textId="77777777" w:rsidR="00B65021" w:rsidRPr="00B65021" w:rsidRDefault="00B65021" w:rsidP="00EE3087">
      <w:pPr>
        <w:spacing w:after="136"/>
        <w:ind w:right="-139"/>
        <w:jc w:val="both"/>
        <w:rPr>
          <w:rFonts w:ascii="Calibri" w:hAnsi="Calibri" w:cs="Calibri"/>
        </w:rPr>
      </w:pPr>
      <w:r w:rsidRPr="00B65021">
        <w:rPr>
          <w:rFonts w:ascii="Calibri" w:hAnsi="Calibri" w:cs="Calibri"/>
        </w:rPr>
        <w:t xml:space="preserve"> </w:t>
      </w:r>
    </w:p>
    <w:p w14:paraId="78197804" w14:textId="23803281" w:rsidR="00B65021" w:rsidRPr="00B65021" w:rsidRDefault="00B65021" w:rsidP="00EE3087">
      <w:pPr>
        <w:spacing w:after="139"/>
        <w:ind w:right="-139"/>
        <w:jc w:val="center"/>
        <w:rPr>
          <w:rFonts w:ascii="Calibri" w:hAnsi="Calibri" w:cs="Calibri"/>
        </w:rPr>
      </w:pPr>
      <w:r w:rsidRPr="00B65021">
        <w:rPr>
          <w:rFonts w:ascii="Calibri" w:hAnsi="Calibri" w:cs="Calibri"/>
          <w:b/>
        </w:rPr>
        <w:t>IZJAVO</w:t>
      </w:r>
    </w:p>
    <w:p w14:paraId="041E2F43" w14:textId="77777777" w:rsidR="00B65021" w:rsidRPr="00B65021" w:rsidRDefault="00B65021" w:rsidP="00EE3087">
      <w:pPr>
        <w:ind w:left="-15" w:right="-139"/>
        <w:jc w:val="both"/>
        <w:rPr>
          <w:rFonts w:ascii="Calibri" w:hAnsi="Calibri" w:cs="Calibri"/>
        </w:rPr>
      </w:pPr>
      <w:r w:rsidRPr="00B65021">
        <w:rPr>
          <w:rFonts w:ascii="Calibri" w:hAnsi="Calibri" w:cs="Calibri"/>
        </w:rPr>
        <w:t xml:space="preserve">da: </w:t>
      </w:r>
    </w:p>
    <w:p w14:paraId="1507CFEB"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smo seznanjeni in se v celoti strinjamo z vsebino, pogoji in zahtevami predmetnega javnega razpisa; </w:t>
      </w:r>
    </w:p>
    <w:p w14:paraId="67C03526"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je projekt, ki je predmet vloge, skladen z namenom in predmetom javnega razpisa, določili javnega razpisa, razpisno dokumentacijo ter evropsko in nacionalno zakonodajo; </w:t>
      </w:r>
    </w:p>
    <w:p w14:paraId="53C3D748" w14:textId="77777777" w:rsidR="00B65021" w:rsidRPr="00B65021" w:rsidRDefault="00B65021" w:rsidP="00EE3087">
      <w:pPr>
        <w:pStyle w:val="ListParagraph"/>
        <w:widowControl w:val="0"/>
        <w:numPr>
          <w:ilvl w:val="0"/>
          <w:numId w:val="1"/>
        </w:numPr>
        <w:tabs>
          <w:tab w:val="left" w:pos="427"/>
        </w:tabs>
        <w:autoSpaceDE w:val="0"/>
        <w:autoSpaceDN w:val="0"/>
        <w:spacing w:before="64" w:after="0" w:line="237" w:lineRule="auto"/>
        <w:ind w:right="-139"/>
        <w:contextualSpacing w:val="0"/>
        <w:jc w:val="both"/>
        <w:rPr>
          <w:rFonts w:ascii="Calibri" w:hAnsi="Calibri" w:cs="Calibri"/>
        </w:rPr>
      </w:pPr>
      <w:r w:rsidRPr="00B65021">
        <w:rPr>
          <w:rFonts w:ascii="Calibri" w:hAnsi="Calibri" w:cs="Calibri"/>
        </w:rPr>
        <w:t>bomo</w:t>
      </w:r>
      <w:r w:rsidRPr="00B65021">
        <w:rPr>
          <w:rFonts w:ascii="Calibri" w:hAnsi="Calibri" w:cs="Calibri"/>
          <w:spacing w:val="40"/>
        </w:rPr>
        <w:t xml:space="preserve"> </w:t>
      </w:r>
      <w:r w:rsidRPr="00B65021">
        <w:rPr>
          <w:rFonts w:ascii="Calibri" w:hAnsi="Calibri" w:cs="Calibri"/>
        </w:rPr>
        <w:t>pri</w:t>
      </w:r>
      <w:r w:rsidRPr="00B65021">
        <w:rPr>
          <w:rFonts w:ascii="Calibri" w:hAnsi="Calibri" w:cs="Calibri"/>
          <w:spacing w:val="40"/>
        </w:rPr>
        <w:t xml:space="preserve"> </w:t>
      </w:r>
      <w:r w:rsidRPr="00B65021">
        <w:rPr>
          <w:rFonts w:ascii="Calibri" w:hAnsi="Calibri" w:cs="Calibri"/>
        </w:rPr>
        <w:t>izvedbi</w:t>
      </w:r>
      <w:r w:rsidRPr="00B65021">
        <w:rPr>
          <w:rFonts w:ascii="Calibri" w:hAnsi="Calibri" w:cs="Calibri"/>
          <w:spacing w:val="40"/>
        </w:rPr>
        <w:t xml:space="preserve"> </w:t>
      </w:r>
      <w:r w:rsidRPr="00B65021">
        <w:rPr>
          <w:rFonts w:ascii="Calibri" w:hAnsi="Calibri" w:cs="Calibri"/>
        </w:rPr>
        <w:t>projekta</w:t>
      </w:r>
      <w:r w:rsidRPr="00B65021">
        <w:rPr>
          <w:rFonts w:ascii="Calibri" w:hAnsi="Calibri" w:cs="Calibri"/>
          <w:spacing w:val="40"/>
        </w:rPr>
        <w:t xml:space="preserve"> </w:t>
      </w:r>
      <w:r w:rsidRPr="00B65021">
        <w:rPr>
          <w:rFonts w:ascii="Calibri" w:hAnsi="Calibri" w:cs="Calibri"/>
        </w:rPr>
        <w:t>dosledno</w:t>
      </w:r>
      <w:r w:rsidRPr="00B65021">
        <w:rPr>
          <w:rFonts w:ascii="Calibri" w:hAnsi="Calibri" w:cs="Calibri"/>
          <w:spacing w:val="40"/>
        </w:rPr>
        <w:t xml:space="preserve"> </w:t>
      </w:r>
      <w:r w:rsidRPr="00B65021">
        <w:rPr>
          <w:rFonts w:ascii="Calibri" w:hAnsi="Calibri" w:cs="Calibri"/>
        </w:rPr>
        <w:t>upoštevali</w:t>
      </w:r>
      <w:r w:rsidRPr="00B65021">
        <w:rPr>
          <w:rFonts w:ascii="Calibri" w:hAnsi="Calibri" w:cs="Calibri"/>
          <w:spacing w:val="40"/>
        </w:rPr>
        <w:t xml:space="preserve"> </w:t>
      </w:r>
      <w:r w:rsidRPr="00B65021">
        <w:rPr>
          <w:rFonts w:ascii="Calibri" w:hAnsi="Calibri" w:cs="Calibri"/>
        </w:rPr>
        <w:t>vso</w:t>
      </w:r>
      <w:r w:rsidRPr="00B65021">
        <w:rPr>
          <w:rFonts w:ascii="Calibri" w:hAnsi="Calibri" w:cs="Calibri"/>
          <w:spacing w:val="40"/>
        </w:rPr>
        <w:t xml:space="preserve"> </w:t>
      </w:r>
      <w:r w:rsidRPr="00B65021">
        <w:rPr>
          <w:rFonts w:ascii="Calibri" w:hAnsi="Calibri" w:cs="Calibri"/>
        </w:rPr>
        <w:t>veljavno</w:t>
      </w:r>
      <w:r w:rsidRPr="00B65021">
        <w:rPr>
          <w:rFonts w:ascii="Calibri" w:hAnsi="Calibri" w:cs="Calibri"/>
          <w:spacing w:val="40"/>
        </w:rPr>
        <w:t xml:space="preserve"> </w:t>
      </w:r>
      <w:r w:rsidRPr="00B65021">
        <w:rPr>
          <w:rFonts w:ascii="Calibri" w:hAnsi="Calibri" w:cs="Calibri"/>
        </w:rPr>
        <w:t>evropsko</w:t>
      </w:r>
      <w:r w:rsidRPr="00B65021">
        <w:rPr>
          <w:rFonts w:ascii="Calibri" w:hAnsi="Calibri" w:cs="Calibri"/>
          <w:spacing w:val="40"/>
        </w:rPr>
        <w:t xml:space="preserve"> </w:t>
      </w:r>
      <w:r w:rsidRPr="00B65021">
        <w:rPr>
          <w:rFonts w:ascii="Calibri" w:hAnsi="Calibri" w:cs="Calibri"/>
        </w:rPr>
        <w:t>in</w:t>
      </w:r>
      <w:r w:rsidRPr="00B65021">
        <w:rPr>
          <w:rFonts w:ascii="Calibri" w:hAnsi="Calibri" w:cs="Calibri"/>
          <w:spacing w:val="40"/>
        </w:rPr>
        <w:t xml:space="preserve"> </w:t>
      </w:r>
      <w:r w:rsidRPr="00B65021">
        <w:rPr>
          <w:rFonts w:ascii="Calibri" w:hAnsi="Calibri" w:cs="Calibri"/>
        </w:rPr>
        <w:t>nacionalno</w:t>
      </w:r>
      <w:r w:rsidRPr="00B65021">
        <w:rPr>
          <w:rFonts w:ascii="Calibri" w:hAnsi="Calibri" w:cs="Calibri"/>
          <w:spacing w:val="80"/>
        </w:rPr>
        <w:t xml:space="preserve"> </w:t>
      </w:r>
      <w:r w:rsidRPr="00B65021">
        <w:rPr>
          <w:rFonts w:ascii="Calibri" w:hAnsi="Calibri" w:cs="Calibri"/>
        </w:rPr>
        <w:t>zakonodajo ter navodila družbe Borzen, d.o.o. (v nadaljevanju: Borzen);</w:t>
      </w:r>
    </w:p>
    <w:p w14:paraId="1B26D540"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pri vlagatelju ne gre za »podjetje v težavah«, kot ga opredeljujeta 18. točka 2. člena Uredbe (EU) št. 651/2014 in nacionalna zakonodaja; </w:t>
      </w:r>
    </w:p>
    <w:p w14:paraId="3BCFC7E6"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zoper nas ni uveden postopek prisilne poravnave, stečajni postopek ali postopek likvidacije;</w:t>
      </w:r>
    </w:p>
    <w:p w14:paraId="2D349F9E"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izpolnjujemo vse splošne pogoje ter pogoje, povezane z ekonomskim in finančnim položajem, kot jih določa točka 9.1 predmetnega javnega razpisa;</w:t>
      </w:r>
    </w:p>
    <w:p w14:paraId="56DC3ACD" w14:textId="77777777" w:rsidR="00B65021" w:rsidRPr="00B65021" w:rsidRDefault="00B65021" w:rsidP="00EE3087">
      <w:pPr>
        <w:pStyle w:val="ListParagraph"/>
        <w:widowControl w:val="0"/>
        <w:numPr>
          <w:ilvl w:val="0"/>
          <w:numId w:val="1"/>
        </w:numPr>
        <w:tabs>
          <w:tab w:val="left" w:pos="427"/>
        </w:tabs>
        <w:autoSpaceDE w:val="0"/>
        <w:autoSpaceDN w:val="0"/>
        <w:spacing w:before="59" w:after="0" w:line="237" w:lineRule="auto"/>
        <w:ind w:right="285"/>
        <w:contextualSpacing w:val="0"/>
        <w:jc w:val="both"/>
        <w:rPr>
          <w:rFonts w:ascii="Calibri" w:hAnsi="Calibri" w:cs="Calibri"/>
        </w:rPr>
      </w:pPr>
      <w:r w:rsidRPr="00B65021">
        <w:rPr>
          <w:rFonts w:ascii="Calibri" w:hAnsi="Calibri" w:cs="Calibri"/>
        </w:rPr>
        <w:t>so predloženi računovodski izkazi (bilanca stanja in izkaz poslovnega izida) resnični in verodostojni;</w:t>
      </w:r>
    </w:p>
    <w:p w14:paraId="59C8B279"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vlagatelj ni insolventen ali v stanju kapitalske neustreznosti v skladu z 11. členom ter v povezavi s 14. členom Zakona o finančnem poslovanju, postopkih zaradi insolventnosti in prisilnem prenehanju (Uradni list RS, št. 176/21 – uradno prečiščeno besedilo, 178/21 – popr., 196/21 – odl. US, 157/22 – odl. US, 35/23 – odl. US, 57/23 – odl. US in 102/23, 25/25 – odl. US</w:t>
      </w:r>
      <w:r w:rsidRPr="00B65021" w:rsidDel="0031791C">
        <w:rPr>
          <w:rFonts w:ascii="Calibri" w:hAnsi="Calibri" w:cs="Calibri"/>
        </w:rPr>
        <w:t xml:space="preserve"> </w:t>
      </w:r>
      <w:r w:rsidRPr="00B65021">
        <w:rPr>
          <w:rFonts w:ascii="Calibri" w:hAnsi="Calibri" w:cs="Calibri"/>
        </w:rPr>
        <w:t>40/25 in 100/25 – ZS-1);</w:t>
      </w:r>
    </w:p>
    <w:p w14:paraId="0373AA4C"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nismo navedeni na seznamu subjektov, s katerimi državni organi ne smejo poslovati v skladu z zakonom, ki ureja preprečevanje korupcije; </w:t>
      </w:r>
    </w:p>
    <w:p w14:paraId="0758CD07"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na dan oddaje vloge nimamo neporavnanih obveznosti do Republike Slovenije v zvezi s plačili obveznih dajatev in drugih denarnih nedavčnih obveznosti v skladu z zakonom, ki ureja finančno upravo, ki jih pobira davčni organ, v vrednosti 50 eurov ali več, kar vključuje tudi predložitev vseh obračunov davčnih odtegljajev za dohodke iz delovnega razmerja za obdobje zadnjih petih let (</w:t>
      </w:r>
      <w:r w:rsidRPr="00B65021">
        <w:rPr>
          <w:rFonts w:ascii="Calibri" w:hAnsi="Calibri" w:cs="Calibri"/>
          <w:color w:val="000000" w:themeColor="text1"/>
        </w:rPr>
        <w:t xml:space="preserve">oziroma v primeru krajšega poslovanja za celotno obdobje poslovanja) </w:t>
      </w:r>
      <w:r w:rsidRPr="00B65021">
        <w:rPr>
          <w:rFonts w:ascii="Calibri" w:hAnsi="Calibri" w:cs="Calibri"/>
        </w:rPr>
        <w:t xml:space="preserve">do roka za oddajo vloge na predmetni javni razpis; </w:t>
      </w:r>
    </w:p>
    <w:p w14:paraId="74BE277C"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nimamo neporavnanega naloga za vračilo preveč izplačane državne pomoči ali pomoči po pravilu de minimis na podlagi poziva ministrstva, pristojnega za finance; </w:t>
      </w:r>
    </w:p>
    <w:p w14:paraId="3DFDA4C0"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nismo v postopku pridobivanja ali prejema finančne pomoči za reševanje in prestrukturiranje gospodarskih družb v težavah;</w:t>
      </w:r>
    </w:p>
    <w:p w14:paraId="46A63862" w14:textId="77777777" w:rsidR="00B65021" w:rsidRPr="00B65021" w:rsidRDefault="00B65021" w:rsidP="00EE3087">
      <w:pPr>
        <w:pStyle w:val="ListParagraph"/>
        <w:widowControl w:val="0"/>
        <w:numPr>
          <w:ilvl w:val="0"/>
          <w:numId w:val="1"/>
        </w:numPr>
        <w:tabs>
          <w:tab w:val="left" w:pos="427"/>
        </w:tabs>
        <w:autoSpaceDE w:val="0"/>
        <w:autoSpaceDN w:val="0"/>
        <w:spacing w:before="64" w:after="0" w:line="237" w:lineRule="auto"/>
        <w:ind w:right="283"/>
        <w:contextualSpacing w:val="0"/>
        <w:jc w:val="both"/>
        <w:rPr>
          <w:rFonts w:ascii="Calibri" w:hAnsi="Calibri" w:cs="Calibri"/>
        </w:rPr>
      </w:pPr>
      <w:r w:rsidRPr="00B65021">
        <w:rPr>
          <w:rFonts w:ascii="Calibri" w:hAnsi="Calibri" w:cs="Calibri"/>
        </w:rPr>
        <w:lastRenderedPageBreak/>
        <w:t>nimamo neporavnanega naloga za vračilo izplačane pomoči zaradi sklepa Evropske komisije, ki je pomoč razglasila za nezakonito in nezdružljivo s skupnim trgom;</w:t>
      </w:r>
    </w:p>
    <w:p w14:paraId="71CDF13F"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nam ni bila izdana pravnomočna inšpekcijska odločba na podlagi zakona, ki ureja varstvo okolja, oz. smo kršitve že odpravili v določenem roku za odpravo kršitve (tretja točka devetega odstavka 30. člena Podnebnega zakona);</w:t>
      </w:r>
    </w:p>
    <w:p w14:paraId="04AD0270"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nismo upravljavec druge naprave, ki ima dovoljenje za izpuščanje toplogrednih plinov iz 32. člena Podnebnega zakona oz. smo ministrstvu pristojnemu za okolje, podnebje in energijo  posredovali načrt za podnebno nevtralnost v roku šestih mesecev po pravnomočnosti dovoljenja, kar dokazujemo s potrdilom o oddani pošiljki (šesti odstavek 36. člena Podnebnega zakona);</w:t>
      </w:r>
    </w:p>
    <w:p w14:paraId="7C434299"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zoper nas ni bila izdana odločba s strani ministrstva pristojnega za okolje, podnebje in energijo v zvezi z načrtom za podnebno nevtralnost (neskladnost načrta za podnebno nevtralnost s predpisi; ne oddano poročilo o doseganju ciljev in mejnikov, določenih v načrtu za podnebno nevtralnost; nedoseženi cilji in mejniki, določeni v načrtu za podnebno nevtralnost) (sedmi odstavek 36. člena Podnebnega zakona);</w:t>
      </w:r>
    </w:p>
    <w:p w14:paraId="3B5EE576"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imamo zagotovljene vse preostale vire za izvedbo celotnega projekta in bomo v primeru, da  ti viri dejansko ne bodo pridobljeni, sredstva nadomestili iz lastnih virov; </w:t>
      </w:r>
    </w:p>
    <w:p w14:paraId="4295BFB3"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imamo za projekt izdelan in s strani zakonitega zastopnika vlagatelja potrjen poslovni načrt v skladu s Prilogo št. 2 razpisne dokumentacije tega javnega razpisa oz. investicijsko dokumentacijo, ki je izdelana v skladu z uredbo, ki določa enotno metodologijo za pripravo in obravnavo investicijske dokumentacije na področju javnih financ; </w:t>
      </w:r>
    </w:p>
    <w:p w14:paraId="05E81C15"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projekt ni in ne bo predmet sofinanciranja iz drugih sredstev državnega, lokalnega ali EU</w:t>
      </w:r>
    </w:p>
    <w:p w14:paraId="348A143E" w14:textId="77777777" w:rsidR="00B65021" w:rsidRPr="00B65021" w:rsidRDefault="00B65021" w:rsidP="00EE3087">
      <w:pPr>
        <w:pStyle w:val="ListParagraph"/>
        <w:ind w:left="345" w:right="-139"/>
        <w:jc w:val="both"/>
        <w:rPr>
          <w:rFonts w:ascii="Calibri" w:hAnsi="Calibri" w:cs="Calibri"/>
        </w:rPr>
      </w:pPr>
      <w:r w:rsidRPr="00B65021">
        <w:rPr>
          <w:rFonts w:ascii="Calibri" w:hAnsi="Calibri" w:cs="Calibri"/>
        </w:rPr>
        <w:t>proračuna (prepoved dvojnega sofinanciranja);</w:t>
      </w:r>
    </w:p>
    <w:p w14:paraId="3037545C"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skupna višina prejetih sredstev ne bo presegla zgornje meje intenzivnosti državne pomoči po Uredbi 651/2014/EU (člen 36a pomoč za naložbe v polnilno ali oskrbovalno infrastrukturo in člena 36b pomoč za naložbe v nakup oziroma zakup brezemisijskih vozil), ki na upravičenca znaša 30 milijonov EUR ne glede na to, ali je pomoč dodeljena iz sredstev države, občine ali Evropske unije (pravilo kumulacije); </w:t>
      </w:r>
    </w:p>
    <w:p w14:paraId="55AC0BFC"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nismo dejavni v sektorjih za katere velja, da niso upravičeni do državne pomoči v skladu z</w:t>
      </w:r>
      <w:r w:rsidRPr="00B65021">
        <w:rPr>
          <w:rFonts w:ascii="Calibri" w:eastAsia="Calibri" w:hAnsi="Calibri" w:cs="Calibri"/>
        </w:rPr>
        <w:t xml:space="preserve"> </w:t>
      </w:r>
      <w:r w:rsidRPr="00B65021">
        <w:rPr>
          <w:rFonts w:ascii="Calibri" w:hAnsi="Calibri" w:cs="Calibri"/>
        </w:rPr>
        <w:t xml:space="preserve">Uredbo 651/2014/EU (ribištva in akvakulture; primarne kmetijske proizvodnje; predelave in trženja kmetijskih proizvodov in je znesek pomoči določen na podlagi cene oziroma količine proizvodov, kupljenih od primarnih proizvajalcev oziroma določenega podjetja; predelave in trženja kmetijskih proizvodov in je pomoč pogojena z delnim ali celotnim prenosom na primarne proizvajalce; za lažje zaprtje nekonkurenčnih premogovnikov; proizvodnje jedrske energije);  </w:t>
      </w:r>
    </w:p>
    <w:p w14:paraId="4454B616"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pred oddajo vloge na javni razpis še nismo pričeli z izvajanjem gradbenih del v okviru projekta ali s prvim pravno zavezujočim naročanjem opreme ali katerokoli drugo zavezo, zaradi  katere projekta ni več mogoče preklicati, če ta nastopi pred začetkom gradbenih del, razen pripravljalnih del, kot so nakup zemljišča, pridobivanje dovoljenj in opravljanje predhodnih študij izvedljivosti; </w:t>
      </w:r>
    </w:p>
    <w:p w14:paraId="00DA4748"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bomo ministrstvu, družbi Borzen ter drugim nadzornim organom, vključenim v nadzor ali revizijo, omogočili dostopnost do celotne dokumentacije projekta na način, da sta vsak čas možna kontrola izvajanja projekta in vpogled v dokumentacijo v vsaki točki projekta;</w:t>
      </w:r>
    </w:p>
    <w:p w14:paraId="50ED4E1A"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smo seznanjeni s posledicami, ki bi nastale ob ugotovitvi dvojnega financiranja istih upravičenih stroškov na projektu, neupoštevanja veljavne zakonodaje in navodil v vseh postopkih izvajanja projekta, kot je npr. vračilo vseh že izplačanih sredstev s pripadajočimi zakonskimi zamudnimi obrestmi; </w:t>
      </w:r>
    </w:p>
    <w:p w14:paraId="3ADA1716"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bomo na morebiten poziv ministrstva dostavili dokument o zagotovljenih sredstvih za izvedbo projekta; </w:t>
      </w:r>
    </w:p>
    <w:p w14:paraId="5BB46B8D"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soglašamo z vodenjem ločene knjigovodske evidence projekta in s spremljanjem prihodkov projekta; </w:t>
      </w:r>
    </w:p>
    <w:p w14:paraId="338EE1C8"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lastRenderedPageBreak/>
        <w:t xml:space="preserve">se strinjamo, da bodo naziv upravičenca, naslov, vrsta in velikost naložbe ter višina nepovratne finančne spodbude objavljeni na seznamu prejemnikov v skladu s 3. točko prvega odstavka 10. člena Uredbe o posredovanju in ponovni uporabi informacij javnega značaja (Uradni list RS, št. 24/16 in 146/22); </w:t>
      </w:r>
    </w:p>
    <w:p w14:paraId="0B787C2B" w14:textId="77777777" w:rsidR="00B65021" w:rsidRPr="00B65021" w:rsidRDefault="00B65021" w:rsidP="00EE3087">
      <w:pPr>
        <w:pStyle w:val="ListParagraph"/>
        <w:widowControl w:val="0"/>
        <w:numPr>
          <w:ilvl w:val="0"/>
          <w:numId w:val="1"/>
        </w:numPr>
        <w:tabs>
          <w:tab w:val="left" w:pos="427"/>
        </w:tabs>
        <w:autoSpaceDE w:val="0"/>
        <w:autoSpaceDN w:val="0"/>
        <w:spacing w:before="61" w:after="0" w:line="237" w:lineRule="auto"/>
        <w:ind w:right="276"/>
        <w:contextualSpacing w:val="0"/>
        <w:jc w:val="both"/>
        <w:rPr>
          <w:rFonts w:ascii="Calibri" w:hAnsi="Calibri" w:cs="Calibri"/>
        </w:rPr>
      </w:pPr>
      <w:r w:rsidRPr="00B65021">
        <w:rPr>
          <w:rFonts w:ascii="Calibri" w:hAnsi="Calibri" w:cs="Calibri"/>
        </w:rPr>
        <w:t>bo</w:t>
      </w:r>
      <w:r w:rsidRPr="00B65021">
        <w:rPr>
          <w:rFonts w:ascii="Calibri" w:hAnsi="Calibri" w:cs="Calibri"/>
          <w:spacing w:val="-12"/>
        </w:rPr>
        <w:t xml:space="preserve"> </w:t>
      </w:r>
      <w:r w:rsidRPr="00B65021">
        <w:rPr>
          <w:rFonts w:ascii="Calibri" w:hAnsi="Calibri" w:cs="Calibri"/>
        </w:rPr>
        <w:t>predmet</w:t>
      </w:r>
      <w:r w:rsidRPr="00B65021">
        <w:rPr>
          <w:rFonts w:ascii="Calibri" w:hAnsi="Calibri" w:cs="Calibri"/>
          <w:spacing w:val="-10"/>
        </w:rPr>
        <w:t xml:space="preserve"> </w:t>
      </w:r>
      <w:r w:rsidRPr="00B65021">
        <w:rPr>
          <w:rFonts w:ascii="Calibri" w:hAnsi="Calibri" w:cs="Calibri"/>
        </w:rPr>
        <w:t>projekta</w:t>
      </w:r>
      <w:r w:rsidRPr="00B65021">
        <w:rPr>
          <w:rFonts w:ascii="Calibri" w:hAnsi="Calibri" w:cs="Calibri"/>
          <w:spacing w:val="-12"/>
        </w:rPr>
        <w:t xml:space="preserve"> </w:t>
      </w:r>
      <w:r w:rsidRPr="00B65021">
        <w:rPr>
          <w:rFonts w:ascii="Calibri" w:hAnsi="Calibri" w:cs="Calibri"/>
        </w:rPr>
        <w:t>nabavljen</w:t>
      </w:r>
      <w:r w:rsidRPr="00B65021">
        <w:rPr>
          <w:rFonts w:ascii="Calibri" w:hAnsi="Calibri" w:cs="Calibri"/>
          <w:spacing w:val="-12"/>
        </w:rPr>
        <w:t xml:space="preserve"> </w:t>
      </w:r>
      <w:r w:rsidRPr="00B65021">
        <w:rPr>
          <w:rFonts w:ascii="Calibri" w:hAnsi="Calibri" w:cs="Calibri"/>
        </w:rPr>
        <w:t>pod</w:t>
      </w:r>
      <w:r w:rsidRPr="00B65021">
        <w:rPr>
          <w:rFonts w:ascii="Calibri" w:hAnsi="Calibri" w:cs="Calibri"/>
          <w:spacing w:val="-13"/>
        </w:rPr>
        <w:t xml:space="preserve"> </w:t>
      </w:r>
      <w:r w:rsidRPr="00B65021">
        <w:rPr>
          <w:rFonts w:ascii="Calibri" w:hAnsi="Calibri" w:cs="Calibri"/>
        </w:rPr>
        <w:t>tržnimi</w:t>
      </w:r>
      <w:r w:rsidRPr="00B65021">
        <w:rPr>
          <w:rFonts w:ascii="Calibri" w:hAnsi="Calibri" w:cs="Calibri"/>
          <w:spacing w:val="-12"/>
        </w:rPr>
        <w:t xml:space="preserve"> </w:t>
      </w:r>
      <w:r w:rsidRPr="00B65021">
        <w:rPr>
          <w:rFonts w:ascii="Calibri" w:hAnsi="Calibri" w:cs="Calibri"/>
        </w:rPr>
        <w:t>pogoji</w:t>
      </w:r>
      <w:r w:rsidRPr="00B65021">
        <w:rPr>
          <w:rFonts w:ascii="Calibri" w:hAnsi="Calibri" w:cs="Calibri"/>
          <w:spacing w:val="-13"/>
        </w:rPr>
        <w:t xml:space="preserve"> </w:t>
      </w:r>
      <w:r w:rsidRPr="00B65021">
        <w:rPr>
          <w:rFonts w:ascii="Calibri" w:hAnsi="Calibri" w:cs="Calibri"/>
        </w:rPr>
        <w:t>od</w:t>
      </w:r>
      <w:r w:rsidRPr="00B65021">
        <w:rPr>
          <w:rFonts w:ascii="Calibri" w:hAnsi="Calibri" w:cs="Calibri"/>
          <w:spacing w:val="-12"/>
        </w:rPr>
        <w:t xml:space="preserve"> </w:t>
      </w:r>
      <w:r w:rsidRPr="00B65021">
        <w:rPr>
          <w:rFonts w:ascii="Calibri" w:hAnsi="Calibri" w:cs="Calibri"/>
        </w:rPr>
        <w:t>tretjih</w:t>
      </w:r>
      <w:r w:rsidRPr="00B65021">
        <w:rPr>
          <w:rFonts w:ascii="Calibri" w:hAnsi="Calibri" w:cs="Calibri"/>
          <w:spacing w:val="-11"/>
        </w:rPr>
        <w:t xml:space="preserve"> </w:t>
      </w:r>
      <w:r w:rsidRPr="00B65021">
        <w:rPr>
          <w:rFonts w:ascii="Calibri" w:hAnsi="Calibri" w:cs="Calibri"/>
        </w:rPr>
        <w:t>oseb,</w:t>
      </w:r>
      <w:r w:rsidRPr="00B65021">
        <w:rPr>
          <w:rFonts w:ascii="Calibri" w:hAnsi="Calibri" w:cs="Calibri"/>
          <w:spacing w:val="-12"/>
        </w:rPr>
        <w:t xml:space="preserve"> </w:t>
      </w:r>
      <w:r w:rsidRPr="00B65021">
        <w:rPr>
          <w:rFonts w:ascii="Calibri" w:hAnsi="Calibri" w:cs="Calibri"/>
        </w:rPr>
        <w:t>ki</w:t>
      </w:r>
      <w:r w:rsidRPr="00B65021">
        <w:rPr>
          <w:rFonts w:ascii="Calibri" w:hAnsi="Calibri" w:cs="Calibri"/>
          <w:spacing w:val="-12"/>
        </w:rPr>
        <w:t xml:space="preserve"> </w:t>
      </w:r>
      <w:r w:rsidRPr="00B65021">
        <w:rPr>
          <w:rFonts w:ascii="Calibri" w:hAnsi="Calibri" w:cs="Calibri"/>
        </w:rPr>
        <w:t>niso</w:t>
      </w:r>
      <w:r w:rsidRPr="00B65021">
        <w:rPr>
          <w:rFonts w:ascii="Calibri" w:hAnsi="Calibri" w:cs="Calibri"/>
          <w:spacing w:val="-11"/>
        </w:rPr>
        <w:t xml:space="preserve"> </w:t>
      </w:r>
      <w:r w:rsidRPr="00B65021">
        <w:rPr>
          <w:rFonts w:ascii="Calibri" w:hAnsi="Calibri" w:cs="Calibri"/>
        </w:rPr>
        <w:t>več</w:t>
      </w:r>
      <w:r w:rsidRPr="00B65021">
        <w:rPr>
          <w:rFonts w:ascii="Calibri" w:hAnsi="Calibri" w:cs="Calibri"/>
          <w:spacing w:val="-11"/>
        </w:rPr>
        <w:t xml:space="preserve"> </w:t>
      </w:r>
      <w:r w:rsidRPr="00B65021">
        <w:rPr>
          <w:rFonts w:ascii="Calibri" w:hAnsi="Calibri" w:cs="Calibri"/>
        </w:rPr>
        <w:t>kot</w:t>
      </w:r>
      <w:r w:rsidRPr="00B65021">
        <w:rPr>
          <w:rFonts w:ascii="Calibri" w:hAnsi="Calibri" w:cs="Calibri"/>
          <w:spacing w:val="-12"/>
        </w:rPr>
        <w:t xml:space="preserve"> </w:t>
      </w:r>
      <w:r w:rsidRPr="00B65021">
        <w:rPr>
          <w:rFonts w:ascii="Calibri" w:hAnsi="Calibri" w:cs="Calibri"/>
        </w:rPr>
        <w:t>25 odstotno lastniško ali kapitalsko povezane z vlagateljem/upravičencem oz. v primeru zaveze k naročanju skladno s predpisi o javnem naročanju od tretjih oseb, ki niso več kot 5-odstotno lastniško ali kapitalsko povezane z vlagateljem/upravičencem;</w:t>
      </w:r>
    </w:p>
    <w:p w14:paraId="28402E2D" w14:textId="77777777" w:rsidR="00B65021" w:rsidRPr="00B65021" w:rsidRDefault="00B65021" w:rsidP="00EE3087">
      <w:pPr>
        <w:pStyle w:val="ListParagraph"/>
        <w:numPr>
          <w:ilvl w:val="0"/>
          <w:numId w:val="1"/>
        </w:numPr>
        <w:spacing w:line="250" w:lineRule="auto"/>
        <w:ind w:right="-139"/>
        <w:jc w:val="both"/>
        <w:rPr>
          <w:rFonts w:ascii="Calibri" w:hAnsi="Calibri" w:cs="Calibri"/>
        </w:rPr>
      </w:pPr>
      <w:r w:rsidRPr="00B65021">
        <w:rPr>
          <w:rFonts w:ascii="Calibri" w:hAnsi="Calibri" w:cs="Calibri"/>
        </w:rPr>
        <w:t xml:space="preserve">se zavezujemo k upoštevanju zakonodaje s področja integritete in preprečevanja korupcije;  </w:t>
      </w:r>
    </w:p>
    <w:p w14:paraId="413842CC"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 xml:space="preserve">bomo polnilno infrastrukturo, ki je predmet projekta, postavili v skladu z evropskimi in nacionalnimi predpisi in standardi na področju infrastrukture za alternativna goriva v prometu ter tehničnimi zahtevami, ki so v Prilogi št. 1 razpisne dokumentacije tega javnega razpisa; </w:t>
      </w:r>
    </w:p>
    <w:p w14:paraId="26676CC5"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bomo zagotoviti, da bo subvencionirana polnila infrastruktura obratovala najmanj 5 let in bomo ves čas ostali lastniki infrastrukture;</w:t>
      </w:r>
    </w:p>
    <w:p w14:paraId="68C4812E"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 projekt fizično in finančno zaključen najkasneje do dneva določenega v pogodbi za sofinanciranje;</w:t>
      </w:r>
    </w:p>
    <w:p w14:paraId="559CA3B7"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lang w:val="sl"/>
        </w:rPr>
        <w:t>bo projekt fizično in finančno zaključen najkasneje do 31. 08. 2028;</w:t>
      </w:r>
    </w:p>
    <w:p w14:paraId="754193CC"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 xml:space="preserve">naprav in opreme, ki so predmet sofinanciranja, ne bomo odtujili oziroma odstranili najmanj 5 (pet) let po zaključku projekta, razen v primeru okvar; </w:t>
      </w:r>
    </w:p>
    <w:p w14:paraId="6FCFDDA9"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 xml:space="preserve">bomo zagotovili dokazilo o ustreznosti vgrajene opreme (npr. s CE certifikati ipd.); </w:t>
      </w:r>
    </w:p>
    <w:p w14:paraId="1477939C"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bomo dokumentacijo v zvezi s projektom v skladu z veljavnimi predpisi hranili še 10 (deset) let po zadnjem izplačilu sredstev za potrebe revizije oziroma kot dokazila za potrebe bodočih preverjanj;</w:t>
      </w:r>
    </w:p>
    <w:p w14:paraId="4A667AD9" w14:textId="77777777" w:rsidR="00B65021" w:rsidRPr="00B65021" w:rsidRDefault="00B65021" w:rsidP="00EE3087">
      <w:pPr>
        <w:pStyle w:val="ListParagraph"/>
        <w:widowControl w:val="0"/>
        <w:numPr>
          <w:ilvl w:val="0"/>
          <w:numId w:val="1"/>
        </w:numPr>
        <w:tabs>
          <w:tab w:val="left" w:pos="426"/>
        </w:tabs>
        <w:autoSpaceDE w:val="0"/>
        <w:autoSpaceDN w:val="0"/>
        <w:spacing w:before="59" w:after="0" w:line="240" w:lineRule="auto"/>
        <w:contextualSpacing w:val="0"/>
        <w:jc w:val="both"/>
        <w:rPr>
          <w:rFonts w:ascii="Calibri" w:hAnsi="Calibri" w:cs="Calibri"/>
        </w:rPr>
      </w:pPr>
      <w:r w:rsidRPr="00B65021">
        <w:rPr>
          <w:rFonts w:ascii="Calibri" w:hAnsi="Calibri" w:cs="Calibri"/>
        </w:rPr>
        <w:t>soglašamo</w:t>
      </w:r>
      <w:r w:rsidRPr="00B65021">
        <w:rPr>
          <w:rFonts w:ascii="Calibri" w:hAnsi="Calibri" w:cs="Calibri"/>
          <w:spacing w:val="-8"/>
        </w:rPr>
        <w:t xml:space="preserve"> </w:t>
      </w:r>
      <w:r w:rsidRPr="00B65021">
        <w:rPr>
          <w:rFonts w:ascii="Calibri" w:hAnsi="Calibri" w:cs="Calibri"/>
        </w:rPr>
        <w:t>z</w:t>
      </w:r>
      <w:r w:rsidRPr="00B65021">
        <w:rPr>
          <w:rFonts w:ascii="Calibri" w:hAnsi="Calibri" w:cs="Calibri"/>
          <w:spacing w:val="-7"/>
        </w:rPr>
        <w:t xml:space="preserve"> </w:t>
      </w:r>
      <w:r w:rsidRPr="00B65021">
        <w:rPr>
          <w:rFonts w:ascii="Calibri" w:hAnsi="Calibri" w:cs="Calibri"/>
        </w:rPr>
        <w:t>elektronskim</w:t>
      </w:r>
      <w:r w:rsidRPr="00B65021">
        <w:rPr>
          <w:rFonts w:ascii="Calibri" w:hAnsi="Calibri" w:cs="Calibri"/>
          <w:spacing w:val="-5"/>
        </w:rPr>
        <w:t xml:space="preserve"> </w:t>
      </w:r>
      <w:r w:rsidRPr="00B65021">
        <w:rPr>
          <w:rFonts w:ascii="Calibri" w:hAnsi="Calibri" w:cs="Calibri"/>
        </w:rPr>
        <w:t>načinom</w:t>
      </w:r>
      <w:r w:rsidRPr="00B65021">
        <w:rPr>
          <w:rFonts w:ascii="Calibri" w:hAnsi="Calibri" w:cs="Calibri"/>
          <w:spacing w:val="-5"/>
        </w:rPr>
        <w:t xml:space="preserve"> </w:t>
      </w:r>
      <w:r w:rsidRPr="00B65021">
        <w:rPr>
          <w:rFonts w:ascii="Calibri" w:hAnsi="Calibri" w:cs="Calibri"/>
        </w:rPr>
        <w:t>poslovanja</w:t>
      </w:r>
      <w:r w:rsidRPr="00B65021">
        <w:rPr>
          <w:rFonts w:ascii="Calibri" w:hAnsi="Calibri" w:cs="Calibri"/>
          <w:spacing w:val="-7"/>
        </w:rPr>
        <w:t xml:space="preserve"> </w:t>
      </w:r>
      <w:r w:rsidRPr="00B65021">
        <w:rPr>
          <w:rFonts w:ascii="Calibri" w:hAnsi="Calibri" w:cs="Calibri"/>
        </w:rPr>
        <w:t>v</w:t>
      </w:r>
      <w:r w:rsidRPr="00B65021">
        <w:rPr>
          <w:rFonts w:ascii="Calibri" w:hAnsi="Calibri" w:cs="Calibri"/>
          <w:spacing w:val="-8"/>
        </w:rPr>
        <w:t xml:space="preserve"> </w:t>
      </w:r>
      <w:r w:rsidRPr="00B65021">
        <w:rPr>
          <w:rFonts w:ascii="Calibri" w:hAnsi="Calibri" w:cs="Calibri"/>
        </w:rPr>
        <w:t>skladu</w:t>
      </w:r>
      <w:r w:rsidRPr="00B65021">
        <w:rPr>
          <w:rFonts w:ascii="Calibri" w:hAnsi="Calibri" w:cs="Calibri"/>
          <w:spacing w:val="-5"/>
        </w:rPr>
        <w:t xml:space="preserve"> </w:t>
      </w:r>
      <w:r w:rsidRPr="00B65021">
        <w:rPr>
          <w:rFonts w:ascii="Calibri" w:hAnsi="Calibri" w:cs="Calibri"/>
        </w:rPr>
        <w:t>z</w:t>
      </w:r>
      <w:r w:rsidRPr="00B65021">
        <w:rPr>
          <w:rFonts w:ascii="Calibri" w:hAnsi="Calibri" w:cs="Calibri"/>
          <w:spacing w:val="-5"/>
        </w:rPr>
        <w:t xml:space="preserve"> </w:t>
      </w:r>
      <w:r w:rsidRPr="00B65021" w:rsidDel="006F2524">
        <w:rPr>
          <w:rFonts w:ascii="Calibri" w:hAnsi="Calibri" w:cs="Calibri"/>
          <w:spacing w:val="-5"/>
        </w:rPr>
        <w:t xml:space="preserve">Uredbo o upravnem </w:t>
      </w:r>
      <w:r w:rsidRPr="00B65021">
        <w:rPr>
          <w:rFonts w:ascii="Calibri" w:hAnsi="Calibri" w:cs="Calibri"/>
          <w:spacing w:val="-5"/>
        </w:rPr>
        <w:t>postopku in zakonom, ki ureja splošni upravni postopek</w:t>
      </w:r>
      <w:r w:rsidRPr="00B65021">
        <w:rPr>
          <w:rFonts w:ascii="Calibri" w:hAnsi="Calibri" w:cs="Calibri"/>
          <w:spacing w:val="-2"/>
        </w:rPr>
        <w:t>;</w:t>
      </w:r>
    </w:p>
    <w:p w14:paraId="5883B2FE"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bomo zagotovili, da je bila prva registracija baterijskega električnega vozila kategorije N1, N2 oziroma N3 po proizvodnji opravljena v Republiki Sloveniji in smo postali tudi prvi lastnik vozila;</w:t>
      </w:r>
    </w:p>
    <w:p w14:paraId="4F76A426"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bomo za nakup oziroma zakup baterijskega električnega vozila za prevoz blaga ter polnilni park pridobili primerljive tržne ponudbe;</w:t>
      </w:r>
    </w:p>
    <w:p w14:paraId="15841289"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bodo naložbe, ki izpolnjujejo pogoje tega javnega razpisa, izvedene v času po oddaji vloge do dneva objave zaključka javnega razpisa na spletni strani družbe Borzen;</w:t>
      </w:r>
    </w:p>
    <w:p w14:paraId="06C7C540"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 novo baterijsko električno vozilo za prevoz blaga ne glede nato ali je bilo kupljeno ali zakupljeno najmanj 3 let po prvi registraciji ostalo registrirano in v naši lasti;</w:t>
      </w:r>
    </w:p>
    <w:p w14:paraId="38E6D38F"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bomo na podlagi sklenjene pogodbe o finančnem leasingu postati prvi zakupnik (leasingojemalec) novega baterijskega električnega tovornega vozila, ki je predmet naložbe. V pogodbi o finančnem leasingu bo določeno, da bomo po poteku pogodbe o finančnem leasingu postali lastnik baterijskega električnega tovornega vozila;</w:t>
      </w:r>
    </w:p>
    <w:p w14:paraId="0A4EEE58"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nismo kupili oziroma zakupili novega baterijskega električnega vozila za prevoz blaga z identifikacijsko številko kateri je že bila dodeljena nepovratna finančna spodbuda po tem ali drugem javnem razpisu;</w:t>
      </w:r>
    </w:p>
    <w:p w14:paraId="111A4DD5"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za nakup oziroma zakup novega baterijskega električnega vozila za prevoz blaga se ne štejejo testna vozila, ki so bila s strani pooblaščenih uvoznikov in prodajalcev vozil predhodno že registrirana;</w:t>
      </w:r>
    </w:p>
    <w:p w14:paraId="3928B022"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izvajamo interno oziroma eksterno logistiko oziroma dejavnost gospodarske javne službe v Sloveniji ali v tujini;</w:t>
      </w:r>
    </w:p>
    <w:p w14:paraId="68F9D454" w14:textId="77777777" w:rsidR="00B65021" w:rsidRPr="00B65021" w:rsidRDefault="00B65021" w:rsidP="00EE3087">
      <w:pPr>
        <w:pStyle w:val="ListParagraph"/>
        <w:numPr>
          <w:ilvl w:val="0"/>
          <w:numId w:val="1"/>
        </w:numPr>
        <w:spacing w:after="0" w:line="250" w:lineRule="auto"/>
        <w:ind w:right="-139"/>
        <w:jc w:val="both"/>
        <w:rPr>
          <w:rFonts w:ascii="Calibri" w:hAnsi="Calibri" w:cs="Calibri"/>
        </w:rPr>
      </w:pPr>
      <w:r w:rsidRPr="00B65021">
        <w:rPr>
          <w:rFonts w:ascii="Calibri" w:hAnsi="Calibri" w:cs="Calibri"/>
        </w:rPr>
        <w:t xml:space="preserve">so vsi podatki v vlogi resnični, točni in popolni, za kar prevzemamo vso materialno in kazensko odgovornost (ne vsebujejo lažnih ali zavajajočih podatkov ter netočnih in nepopolnih podatkov), ter da fotokopije oz. skenogrami priloženih listin ustrezajo originalu. </w:t>
      </w:r>
    </w:p>
    <w:p w14:paraId="53537B66" w14:textId="77777777" w:rsidR="00B65021" w:rsidRPr="00B65021" w:rsidRDefault="00B65021" w:rsidP="00EE3087">
      <w:pPr>
        <w:spacing w:after="0"/>
        <w:ind w:right="-139"/>
        <w:jc w:val="both"/>
        <w:rPr>
          <w:rFonts w:ascii="Calibri" w:hAnsi="Calibri" w:cs="Calibri"/>
        </w:rPr>
      </w:pPr>
    </w:p>
    <w:p w14:paraId="44B1CC93" w14:textId="77777777" w:rsidR="00B65021" w:rsidRPr="00B65021" w:rsidRDefault="00B65021" w:rsidP="00EE3087">
      <w:pPr>
        <w:spacing w:after="0"/>
        <w:ind w:right="-139"/>
        <w:jc w:val="both"/>
        <w:rPr>
          <w:rFonts w:ascii="Calibri" w:hAnsi="Calibri" w:cs="Calibri"/>
        </w:rPr>
      </w:pPr>
      <w:r w:rsidRPr="00B65021">
        <w:rPr>
          <w:rFonts w:ascii="Calibri" w:hAnsi="Calibri" w:cs="Calibri"/>
        </w:rPr>
        <w:lastRenderedPageBreak/>
        <w:t xml:space="preserve">Za podane podatke, njihovo resničnost in ustreznost fotokopij oz. skenogramov prevzemam popolno odgovornost. </w:t>
      </w:r>
    </w:p>
    <w:p w14:paraId="7401F90B" w14:textId="77777777" w:rsidR="00B65021" w:rsidRPr="00B65021" w:rsidRDefault="00B65021" w:rsidP="00EE3087">
      <w:pPr>
        <w:spacing w:after="0"/>
        <w:ind w:right="-139"/>
        <w:jc w:val="both"/>
        <w:rPr>
          <w:rFonts w:ascii="Calibri" w:hAnsi="Calibri" w:cs="Calibri"/>
        </w:rPr>
      </w:pPr>
      <w:r w:rsidRPr="00B65021">
        <w:rPr>
          <w:rFonts w:ascii="Calibri" w:hAnsi="Calibri" w:cs="Calibri"/>
        </w:rPr>
        <w:t xml:space="preserve"> </w:t>
      </w:r>
    </w:p>
    <w:p w14:paraId="0ABC0C71" w14:textId="77777777" w:rsidR="00B65021" w:rsidRPr="00B65021" w:rsidRDefault="00B65021" w:rsidP="00EE3087">
      <w:pPr>
        <w:spacing w:after="0"/>
        <w:ind w:left="-15" w:right="-139"/>
        <w:jc w:val="both"/>
        <w:rPr>
          <w:rFonts w:ascii="Calibri" w:hAnsi="Calibri" w:cs="Calibri"/>
        </w:rPr>
      </w:pPr>
      <w:r w:rsidRPr="00B65021">
        <w:rPr>
          <w:rFonts w:ascii="Calibri" w:hAnsi="Calibri" w:cs="Calibri"/>
        </w:rPr>
        <w:t xml:space="preserve">S podpisom izjave soglašamo, da lahko družba Borzen zahteva dodatna pojasnila ali dokazila v zvezi z ugotavljanjem verodostojnosti navedenih podatkov v prijavi ter da lahko za potrebe tega javnega razpisa pridobi dokazila glede izpolnjevanja pogojev iz uradnih evidenc. Za navedene izjave kazensko in materialno odgovarjamo. Zavedamo se, da bo v primeru, če bo ugotovljena neresničnost katerekoli izjave kadarkoli tekom izbire ali izvajanja projekta, moral izbrani vlagatelj vrniti vsa prejeta sredstva, skupaj z zamudnimi obrestmi. </w:t>
      </w:r>
    </w:p>
    <w:p w14:paraId="7F205F2D" w14:textId="77777777" w:rsidR="00B65021" w:rsidRPr="00B65021" w:rsidRDefault="00B65021" w:rsidP="00EE3087">
      <w:pPr>
        <w:jc w:val="both"/>
        <w:rPr>
          <w:rFonts w:ascii="Calibri" w:hAnsi="Calibri" w:cs="Calibri"/>
        </w:rPr>
      </w:pPr>
    </w:p>
    <w:tbl>
      <w:tblPr>
        <w:tblStyle w:val="TableNormal1"/>
        <w:tblW w:w="0" w:type="auto"/>
        <w:tblInd w:w="151" w:type="dxa"/>
        <w:tblLayout w:type="fixed"/>
        <w:tblLook w:val="01E0" w:firstRow="1" w:lastRow="1" w:firstColumn="1" w:lastColumn="1" w:noHBand="0" w:noVBand="0"/>
      </w:tblPr>
      <w:tblGrid>
        <w:gridCol w:w="3120"/>
        <w:gridCol w:w="1699"/>
        <w:gridCol w:w="4395"/>
      </w:tblGrid>
      <w:tr w:rsidR="00B65021" w:rsidRPr="00B65021" w14:paraId="32CC442F" w14:textId="77777777" w:rsidTr="006079CF">
        <w:trPr>
          <w:trHeight w:val="1157"/>
        </w:trPr>
        <w:tc>
          <w:tcPr>
            <w:tcW w:w="3120" w:type="dxa"/>
            <w:tcBorders>
              <w:bottom w:val="single" w:sz="4" w:space="0" w:color="000000"/>
            </w:tcBorders>
          </w:tcPr>
          <w:p w14:paraId="6646CA0E" w14:textId="77777777" w:rsidR="00B65021" w:rsidRPr="00B65021" w:rsidRDefault="00B65021" w:rsidP="00EE3087">
            <w:pPr>
              <w:pStyle w:val="TableParagraph"/>
              <w:spacing w:line="247" w:lineRule="exact"/>
              <w:ind w:left="107"/>
              <w:jc w:val="both"/>
              <w:rPr>
                <w:rFonts w:ascii="Calibri" w:hAnsi="Calibri" w:cs="Calibri"/>
              </w:rPr>
            </w:pPr>
            <w:r w:rsidRPr="00B65021">
              <w:rPr>
                <w:rFonts w:ascii="Calibri" w:hAnsi="Calibri" w:cs="Calibri"/>
                <w:spacing w:val="-2"/>
              </w:rPr>
              <w:t>V/na:</w:t>
            </w:r>
          </w:p>
        </w:tc>
        <w:tc>
          <w:tcPr>
            <w:tcW w:w="1699" w:type="dxa"/>
          </w:tcPr>
          <w:p w14:paraId="44C267F5" w14:textId="77777777" w:rsidR="00B65021" w:rsidRPr="00B65021" w:rsidRDefault="00B65021" w:rsidP="00EE3087">
            <w:pPr>
              <w:pStyle w:val="TableParagraph"/>
              <w:spacing w:line="247" w:lineRule="exact"/>
              <w:ind w:right="1"/>
              <w:jc w:val="both"/>
              <w:rPr>
                <w:rFonts w:ascii="Calibri" w:hAnsi="Calibri" w:cs="Calibri"/>
                <w:lang w:val="sl-SI"/>
              </w:rPr>
            </w:pPr>
            <w:r w:rsidRPr="00B65021">
              <w:rPr>
                <w:rFonts w:ascii="Calibri" w:hAnsi="Calibri" w:cs="Calibri"/>
                <w:spacing w:val="-4"/>
                <w:lang w:val="sl-SI"/>
              </w:rPr>
              <w:t>Žig:</w:t>
            </w:r>
          </w:p>
        </w:tc>
        <w:tc>
          <w:tcPr>
            <w:tcW w:w="4395" w:type="dxa"/>
            <w:tcBorders>
              <w:bottom w:val="single" w:sz="4" w:space="0" w:color="000000"/>
            </w:tcBorders>
          </w:tcPr>
          <w:p w14:paraId="711AF8EB" w14:textId="77777777" w:rsidR="00B65021" w:rsidRPr="00B65021" w:rsidRDefault="00B65021" w:rsidP="00EE3087">
            <w:pPr>
              <w:pStyle w:val="TableParagraph"/>
              <w:spacing w:line="276" w:lineRule="auto"/>
              <w:ind w:left="1703" w:hanging="1309"/>
              <w:jc w:val="both"/>
              <w:rPr>
                <w:rFonts w:ascii="Calibri" w:hAnsi="Calibri" w:cs="Calibri"/>
                <w:lang w:val="sl-SI"/>
              </w:rPr>
            </w:pPr>
            <w:r w:rsidRPr="00B65021">
              <w:rPr>
                <w:rFonts w:ascii="Calibri" w:hAnsi="Calibri" w:cs="Calibri"/>
                <w:lang w:val="sl-SI"/>
              </w:rPr>
              <w:t>Ime</w:t>
            </w:r>
            <w:r w:rsidRPr="00B65021">
              <w:rPr>
                <w:rFonts w:ascii="Calibri" w:hAnsi="Calibri" w:cs="Calibri"/>
                <w:spacing w:val="-10"/>
                <w:lang w:val="sl-SI"/>
              </w:rPr>
              <w:t xml:space="preserve"> </w:t>
            </w:r>
            <w:r w:rsidRPr="00B65021">
              <w:rPr>
                <w:rFonts w:ascii="Calibri" w:hAnsi="Calibri" w:cs="Calibri"/>
                <w:lang w:val="sl-SI"/>
              </w:rPr>
              <w:t>in</w:t>
            </w:r>
            <w:r w:rsidRPr="00B65021">
              <w:rPr>
                <w:rFonts w:ascii="Calibri" w:hAnsi="Calibri" w:cs="Calibri"/>
                <w:spacing w:val="-8"/>
                <w:lang w:val="sl-SI"/>
              </w:rPr>
              <w:t xml:space="preserve"> </w:t>
            </w:r>
            <w:r w:rsidRPr="00B65021">
              <w:rPr>
                <w:rFonts w:ascii="Calibri" w:hAnsi="Calibri" w:cs="Calibri"/>
                <w:lang w:val="sl-SI"/>
              </w:rPr>
              <w:t>priimek</w:t>
            </w:r>
            <w:r w:rsidRPr="00B65021">
              <w:rPr>
                <w:rFonts w:ascii="Calibri" w:hAnsi="Calibri" w:cs="Calibri"/>
                <w:spacing w:val="-8"/>
                <w:lang w:val="sl-SI"/>
              </w:rPr>
              <w:t xml:space="preserve"> </w:t>
            </w:r>
            <w:r w:rsidRPr="00B65021">
              <w:rPr>
                <w:rFonts w:ascii="Calibri" w:hAnsi="Calibri" w:cs="Calibri"/>
                <w:lang w:val="sl-SI"/>
              </w:rPr>
              <w:t>zakonitega</w:t>
            </w:r>
            <w:r w:rsidRPr="00B65021">
              <w:rPr>
                <w:rFonts w:ascii="Calibri" w:hAnsi="Calibri" w:cs="Calibri"/>
                <w:spacing w:val="-8"/>
                <w:lang w:val="sl-SI"/>
              </w:rPr>
              <w:t xml:space="preserve"> </w:t>
            </w:r>
            <w:r w:rsidRPr="00B65021">
              <w:rPr>
                <w:rFonts w:ascii="Calibri" w:hAnsi="Calibri" w:cs="Calibri"/>
                <w:lang w:val="sl-SI"/>
              </w:rPr>
              <w:t xml:space="preserve">zastopnika </w:t>
            </w:r>
            <w:r w:rsidRPr="00B65021">
              <w:rPr>
                <w:rFonts w:ascii="Calibri" w:hAnsi="Calibri" w:cs="Calibri"/>
                <w:spacing w:val="-2"/>
                <w:lang w:val="sl-SI"/>
              </w:rPr>
              <w:t>vlagatelja:</w:t>
            </w:r>
          </w:p>
        </w:tc>
      </w:tr>
      <w:tr w:rsidR="00B65021" w:rsidRPr="00B65021" w14:paraId="51E16907" w14:textId="77777777" w:rsidTr="006079CF">
        <w:trPr>
          <w:trHeight w:val="543"/>
        </w:trPr>
        <w:tc>
          <w:tcPr>
            <w:tcW w:w="3120" w:type="dxa"/>
            <w:tcBorders>
              <w:top w:val="single" w:sz="4" w:space="0" w:color="000000"/>
            </w:tcBorders>
          </w:tcPr>
          <w:p w14:paraId="61609FCE" w14:textId="77777777" w:rsidR="00B65021" w:rsidRPr="00B65021" w:rsidRDefault="00B65021" w:rsidP="00EE3087">
            <w:pPr>
              <w:pStyle w:val="TableParagraph"/>
              <w:spacing w:before="37"/>
              <w:jc w:val="both"/>
              <w:rPr>
                <w:rFonts w:ascii="Calibri" w:hAnsi="Calibri" w:cs="Calibri"/>
              </w:rPr>
            </w:pPr>
          </w:p>
          <w:p w14:paraId="52DF8EC8" w14:textId="77777777" w:rsidR="00B65021" w:rsidRPr="00B65021" w:rsidRDefault="00B65021" w:rsidP="00EE3087">
            <w:pPr>
              <w:pStyle w:val="TableParagraph"/>
              <w:spacing w:line="233" w:lineRule="exact"/>
              <w:ind w:left="107"/>
              <w:jc w:val="both"/>
              <w:rPr>
                <w:rFonts w:ascii="Calibri" w:hAnsi="Calibri" w:cs="Calibri"/>
              </w:rPr>
            </w:pPr>
            <w:r w:rsidRPr="00B65021">
              <w:rPr>
                <w:rFonts w:ascii="Calibri" w:hAnsi="Calibri" w:cs="Calibri"/>
                <w:spacing w:val="-2"/>
              </w:rPr>
              <w:t>Datum:</w:t>
            </w:r>
          </w:p>
        </w:tc>
        <w:tc>
          <w:tcPr>
            <w:tcW w:w="1699" w:type="dxa"/>
          </w:tcPr>
          <w:p w14:paraId="65756C8A" w14:textId="77777777" w:rsidR="00B65021" w:rsidRPr="00B65021" w:rsidRDefault="00B65021" w:rsidP="00EE3087">
            <w:pPr>
              <w:pStyle w:val="TableParagraph"/>
              <w:jc w:val="both"/>
              <w:rPr>
                <w:rFonts w:ascii="Calibri" w:hAnsi="Calibri" w:cs="Calibri"/>
              </w:rPr>
            </w:pPr>
          </w:p>
        </w:tc>
        <w:tc>
          <w:tcPr>
            <w:tcW w:w="4395" w:type="dxa"/>
            <w:tcBorders>
              <w:top w:val="single" w:sz="4" w:space="0" w:color="000000"/>
            </w:tcBorders>
          </w:tcPr>
          <w:p w14:paraId="64D1DAD3" w14:textId="77777777" w:rsidR="00B65021" w:rsidRPr="00B65021" w:rsidRDefault="00B65021" w:rsidP="00EE3087">
            <w:pPr>
              <w:pStyle w:val="TableParagraph"/>
              <w:spacing w:before="37"/>
              <w:jc w:val="both"/>
              <w:rPr>
                <w:rFonts w:ascii="Calibri" w:hAnsi="Calibri" w:cs="Calibri"/>
              </w:rPr>
            </w:pPr>
          </w:p>
          <w:p w14:paraId="61C4B1AF" w14:textId="77777777" w:rsidR="00B65021" w:rsidRPr="00B65021" w:rsidRDefault="00B65021" w:rsidP="00EE3087">
            <w:pPr>
              <w:pStyle w:val="TableParagraph"/>
              <w:spacing w:line="233" w:lineRule="exact"/>
              <w:ind w:left="217"/>
              <w:jc w:val="both"/>
              <w:rPr>
                <w:rFonts w:ascii="Calibri" w:hAnsi="Calibri" w:cs="Calibri"/>
                <w:lang w:val="sl-SI"/>
              </w:rPr>
            </w:pPr>
            <w:r w:rsidRPr="00B65021">
              <w:rPr>
                <w:rFonts w:ascii="Calibri" w:hAnsi="Calibri" w:cs="Calibri"/>
                <w:lang w:val="sl-SI"/>
              </w:rPr>
              <w:t>Podpis</w:t>
            </w:r>
            <w:r w:rsidRPr="00B65021">
              <w:rPr>
                <w:rFonts w:ascii="Calibri" w:hAnsi="Calibri" w:cs="Calibri"/>
                <w:spacing w:val="-9"/>
                <w:lang w:val="sl-SI"/>
              </w:rPr>
              <w:t xml:space="preserve"> </w:t>
            </w:r>
            <w:r w:rsidRPr="00B65021">
              <w:rPr>
                <w:rFonts w:ascii="Calibri" w:hAnsi="Calibri" w:cs="Calibri"/>
                <w:lang w:val="sl-SI"/>
              </w:rPr>
              <w:t>zakonitega</w:t>
            </w:r>
            <w:r w:rsidRPr="00B65021">
              <w:rPr>
                <w:rFonts w:ascii="Calibri" w:hAnsi="Calibri" w:cs="Calibri"/>
                <w:spacing w:val="-10"/>
                <w:lang w:val="sl-SI"/>
              </w:rPr>
              <w:t xml:space="preserve"> </w:t>
            </w:r>
            <w:r w:rsidRPr="00B65021">
              <w:rPr>
                <w:rFonts w:ascii="Calibri" w:hAnsi="Calibri" w:cs="Calibri"/>
                <w:lang w:val="sl-SI"/>
              </w:rPr>
              <w:t>zastopnika</w:t>
            </w:r>
            <w:r w:rsidRPr="00B65021">
              <w:rPr>
                <w:rFonts w:ascii="Calibri" w:hAnsi="Calibri" w:cs="Calibri"/>
                <w:spacing w:val="-8"/>
                <w:lang w:val="sl-SI"/>
              </w:rPr>
              <w:t xml:space="preserve"> </w:t>
            </w:r>
            <w:r w:rsidRPr="00B65021">
              <w:rPr>
                <w:rFonts w:ascii="Calibri" w:hAnsi="Calibri" w:cs="Calibri"/>
                <w:spacing w:val="-2"/>
                <w:lang w:val="sl-SI"/>
              </w:rPr>
              <w:t>vlagatelja:</w:t>
            </w:r>
          </w:p>
        </w:tc>
      </w:tr>
    </w:tbl>
    <w:p w14:paraId="4F87254E" w14:textId="77777777" w:rsidR="00B65021" w:rsidRPr="00B65021" w:rsidRDefault="00B65021" w:rsidP="00EE3087">
      <w:pPr>
        <w:pStyle w:val="BodyText"/>
        <w:ind w:left="0"/>
        <w:jc w:val="both"/>
        <w:rPr>
          <w:rFonts w:ascii="Calibri" w:hAnsi="Calibri" w:cs="Calibri"/>
        </w:rPr>
      </w:pPr>
    </w:p>
    <w:p w14:paraId="0EAF1388" w14:textId="77777777" w:rsidR="00B65021" w:rsidRPr="00B65021" w:rsidRDefault="00B65021" w:rsidP="00EE3087">
      <w:pPr>
        <w:pStyle w:val="BodyText"/>
        <w:ind w:left="0"/>
        <w:jc w:val="both"/>
        <w:rPr>
          <w:rFonts w:ascii="Calibri" w:hAnsi="Calibri" w:cs="Calibri"/>
        </w:rPr>
      </w:pPr>
    </w:p>
    <w:p w14:paraId="54A20280" w14:textId="47F2BBED" w:rsidR="00B65021" w:rsidRPr="00B65021" w:rsidRDefault="00B65021" w:rsidP="00EE3087">
      <w:pPr>
        <w:jc w:val="both"/>
        <w:rPr>
          <w:rFonts w:ascii="Calibri" w:hAnsi="Calibri" w:cs="Calibri"/>
        </w:rPr>
      </w:pPr>
      <w:r w:rsidRPr="00B65021">
        <w:rPr>
          <w:rFonts w:ascii="Calibri" w:hAnsi="Calibri" w:cs="Calibri"/>
        </w:rPr>
        <w:t xml:space="preserve"> _______________________________                                     __________________________________</w:t>
      </w:r>
    </w:p>
    <w:p w14:paraId="54FD2E4D" w14:textId="77777777" w:rsidR="000E3A1C" w:rsidRPr="00B65021" w:rsidRDefault="000E3A1C" w:rsidP="00EE3087">
      <w:pPr>
        <w:jc w:val="both"/>
        <w:rPr>
          <w:rFonts w:ascii="Calibri" w:hAnsi="Calibri" w:cs="Calibri"/>
        </w:rPr>
      </w:pPr>
    </w:p>
    <w:p w14:paraId="0953B3EB" w14:textId="79A6330F" w:rsidR="000E3A1C" w:rsidRPr="00B65021" w:rsidRDefault="000E3A1C" w:rsidP="00EE3087">
      <w:pPr>
        <w:jc w:val="both"/>
        <w:rPr>
          <w:rFonts w:ascii="Calibri" w:hAnsi="Calibri" w:cs="Calibri"/>
        </w:rPr>
      </w:pPr>
    </w:p>
    <w:p w14:paraId="516482E9" w14:textId="77777777" w:rsidR="000E3A1C" w:rsidRPr="00B65021" w:rsidRDefault="000E3A1C" w:rsidP="00EE3087">
      <w:pPr>
        <w:jc w:val="both"/>
        <w:rPr>
          <w:rFonts w:ascii="Calibri" w:hAnsi="Calibri" w:cs="Calibri"/>
        </w:rPr>
      </w:pPr>
    </w:p>
    <w:p w14:paraId="3052803B" w14:textId="77777777" w:rsidR="000E3A1C" w:rsidRPr="00B65021" w:rsidRDefault="000E3A1C" w:rsidP="00EE3087">
      <w:pPr>
        <w:jc w:val="both"/>
        <w:rPr>
          <w:rFonts w:ascii="Calibri" w:hAnsi="Calibri" w:cs="Calibri"/>
        </w:rPr>
      </w:pPr>
    </w:p>
    <w:p w14:paraId="03B8D9C7" w14:textId="77777777" w:rsidR="000E3A1C" w:rsidRPr="00B65021" w:rsidRDefault="000E3A1C" w:rsidP="00EE3087">
      <w:pPr>
        <w:jc w:val="both"/>
        <w:rPr>
          <w:rFonts w:ascii="Calibri" w:hAnsi="Calibri" w:cs="Calibri"/>
        </w:rPr>
      </w:pPr>
    </w:p>
    <w:p w14:paraId="1502859F" w14:textId="77777777" w:rsidR="000E3A1C" w:rsidRPr="00B65021" w:rsidRDefault="000E3A1C" w:rsidP="00EE3087">
      <w:pPr>
        <w:jc w:val="both"/>
        <w:rPr>
          <w:rFonts w:ascii="Calibri" w:hAnsi="Calibri" w:cs="Calibri"/>
        </w:rPr>
      </w:pPr>
    </w:p>
    <w:p w14:paraId="0677A44F" w14:textId="77777777" w:rsidR="000E3A1C" w:rsidRPr="00B65021" w:rsidRDefault="000E3A1C" w:rsidP="00EE3087">
      <w:pPr>
        <w:jc w:val="both"/>
        <w:rPr>
          <w:rFonts w:ascii="Calibri" w:hAnsi="Calibri" w:cs="Calibri"/>
        </w:rPr>
      </w:pPr>
    </w:p>
    <w:p w14:paraId="29A5E33B" w14:textId="77777777" w:rsidR="000E3A1C" w:rsidRPr="00B65021" w:rsidRDefault="000E3A1C" w:rsidP="00EE3087">
      <w:pPr>
        <w:jc w:val="both"/>
        <w:rPr>
          <w:rFonts w:ascii="Calibri" w:hAnsi="Calibri" w:cs="Calibri"/>
        </w:rPr>
      </w:pPr>
    </w:p>
    <w:p w14:paraId="309C8A8F" w14:textId="77777777" w:rsidR="000E3A1C" w:rsidRPr="00B65021" w:rsidRDefault="000E3A1C" w:rsidP="00EE3087">
      <w:pPr>
        <w:jc w:val="both"/>
        <w:rPr>
          <w:rFonts w:ascii="Calibri" w:hAnsi="Calibri" w:cs="Calibri"/>
        </w:rPr>
      </w:pPr>
    </w:p>
    <w:p w14:paraId="243E97ED" w14:textId="77777777" w:rsidR="000E3A1C" w:rsidRPr="00B65021" w:rsidRDefault="000E3A1C" w:rsidP="00EE3087">
      <w:pPr>
        <w:jc w:val="both"/>
        <w:rPr>
          <w:rFonts w:ascii="Calibri" w:hAnsi="Calibri" w:cs="Calibri"/>
        </w:rPr>
      </w:pPr>
    </w:p>
    <w:p w14:paraId="38C4A10B" w14:textId="77777777" w:rsidR="000E3A1C" w:rsidRPr="00B65021" w:rsidRDefault="000E3A1C" w:rsidP="00EE3087">
      <w:pPr>
        <w:jc w:val="both"/>
        <w:rPr>
          <w:rFonts w:ascii="Calibri" w:hAnsi="Calibri" w:cs="Calibri"/>
        </w:rPr>
      </w:pPr>
    </w:p>
    <w:p w14:paraId="7295EEE5" w14:textId="77777777" w:rsidR="000E3A1C" w:rsidRPr="00B65021" w:rsidRDefault="000E3A1C" w:rsidP="00EE3087">
      <w:pPr>
        <w:jc w:val="both"/>
        <w:rPr>
          <w:rFonts w:ascii="Calibri" w:hAnsi="Calibri" w:cs="Calibri"/>
        </w:rPr>
      </w:pPr>
    </w:p>
    <w:p w14:paraId="39369CAB" w14:textId="77777777" w:rsidR="000E3A1C" w:rsidRPr="00B65021" w:rsidRDefault="000E3A1C" w:rsidP="00EE3087">
      <w:pPr>
        <w:jc w:val="both"/>
        <w:rPr>
          <w:rFonts w:ascii="Calibri" w:hAnsi="Calibri" w:cs="Calibri"/>
        </w:rPr>
      </w:pPr>
    </w:p>
    <w:p w14:paraId="3BEF8A06" w14:textId="77777777" w:rsidR="00C55794" w:rsidRPr="00B65021" w:rsidRDefault="00C55794" w:rsidP="00EE3087">
      <w:pPr>
        <w:jc w:val="both"/>
        <w:rPr>
          <w:rFonts w:ascii="Calibri" w:hAnsi="Calibri" w:cs="Calibri"/>
        </w:rPr>
      </w:pPr>
    </w:p>
    <w:sectPr w:rsidR="00C55794" w:rsidRPr="00B65021" w:rsidSect="000E3A1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BF5F" w14:textId="77777777" w:rsidR="006A51AC" w:rsidRDefault="006A51AC" w:rsidP="000E3A1C">
      <w:pPr>
        <w:spacing w:after="0" w:line="240" w:lineRule="auto"/>
      </w:pPr>
      <w:r>
        <w:separator/>
      </w:r>
    </w:p>
  </w:endnote>
  <w:endnote w:type="continuationSeparator" w:id="0">
    <w:p w14:paraId="26B1AC4C" w14:textId="77777777" w:rsidR="006A51AC" w:rsidRDefault="006A51AC"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0309" w14:textId="77777777" w:rsidR="006A51AC" w:rsidRDefault="006A51AC" w:rsidP="000E3A1C">
      <w:pPr>
        <w:spacing w:after="0" w:line="240" w:lineRule="auto"/>
      </w:pPr>
      <w:r>
        <w:separator/>
      </w:r>
    </w:p>
  </w:footnote>
  <w:footnote w:type="continuationSeparator" w:id="0">
    <w:p w14:paraId="10428CD5" w14:textId="77777777" w:rsidR="006A51AC" w:rsidRDefault="006A51AC"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10B2"/>
    <w:multiLevelType w:val="hybridMultilevel"/>
    <w:tmpl w:val="99C81D5A"/>
    <w:lvl w:ilvl="0" w:tplc="E9C85E36">
      <w:numFmt w:val="bullet"/>
      <w:lvlText w:val="-"/>
      <w:lvlJc w:val="left"/>
      <w:pPr>
        <w:ind w:left="345" w:hanging="360"/>
      </w:pPr>
      <w:rPr>
        <w:rFonts w:ascii="Arial" w:eastAsia="Arial" w:hAnsi="Arial" w:cs="Arial" w:hint="default"/>
      </w:rPr>
    </w:lvl>
    <w:lvl w:ilvl="1" w:tplc="04240003" w:tentative="1">
      <w:start w:val="1"/>
      <w:numFmt w:val="bullet"/>
      <w:lvlText w:val="o"/>
      <w:lvlJc w:val="left"/>
      <w:pPr>
        <w:ind w:left="1065" w:hanging="360"/>
      </w:pPr>
      <w:rPr>
        <w:rFonts w:ascii="Courier New" w:hAnsi="Courier New" w:cs="Courier New" w:hint="default"/>
      </w:rPr>
    </w:lvl>
    <w:lvl w:ilvl="2" w:tplc="04240005" w:tentative="1">
      <w:start w:val="1"/>
      <w:numFmt w:val="bullet"/>
      <w:lvlText w:val=""/>
      <w:lvlJc w:val="left"/>
      <w:pPr>
        <w:ind w:left="1785" w:hanging="360"/>
      </w:pPr>
      <w:rPr>
        <w:rFonts w:ascii="Wingdings" w:hAnsi="Wingdings" w:hint="default"/>
      </w:rPr>
    </w:lvl>
    <w:lvl w:ilvl="3" w:tplc="04240001" w:tentative="1">
      <w:start w:val="1"/>
      <w:numFmt w:val="bullet"/>
      <w:lvlText w:val=""/>
      <w:lvlJc w:val="left"/>
      <w:pPr>
        <w:ind w:left="2505" w:hanging="360"/>
      </w:pPr>
      <w:rPr>
        <w:rFonts w:ascii="Symbol" w:hAnsi="Symbol" w:hint="default"/>
      </w:rPr>
    </w:lvl>
    <w:lvl w:ilvl="4" w:tplc="04240003" w:tentative="1">
      <w:start w:val="1"/>
      <w:numFmt w:val="bullet"/>
      <w:lvlText w:val="o"/>
      <w:lvlJc w:val="left"/>
      <w:pPr>
        <w:ind w:left="3225" w:hanging="360"/>
      </w:pPr>
      <w:rPr>
        <w:rFonts w:ascii="Courier New" w:hAnsi="Courier New" w:cs="Courier New" w:hint="default"/>
      </w:rPr>
    </w:lvl>
    <w:lvl w:ilvl="5" w:tplc="04240005" w:tentative="1">
      <w:start w:val="1"/>
      <w:numFmt w:val="bullet"/>
      <w:lvlText w:val=""/>
      <w:lvlJc w:val="left"/>
      <w:pPr>
        <w:ind w:left="3945" w:hanging="360"/>
      </w:pPr>
      <w:rPr>
        <w:rFonts w:ascii="Wingdings" w:hAnsi="Wingdings" w:hint="default"/>
      </w:rPr>
    </w:lvl>
    <w:lvl w:ilvl="6" w:tplc="04240001" w:tentative="1">
      <w:start w:val="1"/>
      <w:numFmt w:val="bullet"/>
      <w:lvlText w:val=""/>
      <w:lvlJc w:val="left"/>
      <w:pPr>
        <w:ind w:left="4665" w:hanging="360"/>
      </w:pPr>
      <w:rPr>
        <w:rFonts w:ascii="Symbol" w:hAnsi="Symbol" w:hint="default"/>
      </w:rPr>
    </w:lvl>
    <w:lvl w:ilvl="7" w:tplc="04240003" w:tentative="1">
      <w:start w:val="1"/>
      <w:numFmt w:val="bullet"/>
      <w:lvlText w:val="o"/>
      <w:lvlJc w:val="left"/>
      <w:pPr>
        <w:ind w:left="5385" w:hanging="360"/>
      </w:pPr>
      <w:rPr>
        <w:rFonts w:ascii="Courier New" w:hAnsi="Courier New" w:cs="Courier New" w:hint="default"/>
      </w:rPr>
    </w:lvl>
    <w:lvl w:ilvl="8" w:tplc="04240005" w:tentative="1">
      <w:start w:val="1"/>
      <w:numFmt w:val="bullet"/>
      <w:lvlText w:val=""/>
      <w:lvlJc w:val="left"/>
      <w:pPr>
        <w:ind w:left="6105" w:hanging="360"/>
      </w:pPr>
      <w:rPr>
        <w:rFonts w:ascii="Wingdings" w:hAnsi="Wingdings" w:hint="default"/>
      </w:rPr>
    </w:lvl>
  </w:abstractNum>
  <w:num w:numId="1" w16cid:durableId="125431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E3A1C"/>
    <w:rsid w:val="001C1E7E"/>
    <w:rsid w:val="004018CA"/>
    <w:rsid w:val="006A51AC"/>
    <w:rsid w:val="0073161C"/>
    <w:rsid w:val="00832638"/>
    <w:rsid w:val="00926ECC"/>
    <w:rsid w:val="00B65021"/>
    <w:rsid w:val="00B82C56"/>
    <w:rsid w:val="00C55794"/>
    <w:rsid w:val="00DE1CF3"/>
    <w:rsid w:val="00EE3087"/>
    <w:rsid w:val="00FF70AB"/>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1"/>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customStyle="1" w:styleId="TableNormal1">
    <w:name w:val="Table Normal1"/>
    <w:uiPriority w:val="2"/>
    <w:semiHidden/>
    <w:unhideWhenUsed/>
    <w:qFormat/>
    <w:rsid w:val="00B65021"/>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65021"/>
    <w:pPr>
      <w:widowControl w:val="0"/>
      <w:autoSpaceDE w:val="0"/>
      <w:autoSpaceDN w:val="0"/>
      <w:spacing w:after="0" w:line="240" w:lineRule="auto"/>
      <w:ind w:left="427"/>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65021"/>
    <w:rPr>
      <w:rFonts w:ascii="Arial" w:eastAsia="Arial" w:hAnsi="Arial" w:cs="Arial"/>
      <w14:ligatures w14:val="none"/>
    </w:rPr>
  </w:style>
  <w:style w:type="paragraph" w:customStyle="1" w:styleId="TableParagraph">
    <w:name w:val="Table Paragraph"/>
    <w:basedOn w:val="Normal"/>
    <w:uiPriority w:val="1"/>
    <w:qFormat/>
    <w:rsid w:val="00B65021"/>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dhodna_x0020_pošta xmlns="e59f918f-0f86-4ad2-9273-6ec6592addeb">false</Odhodna_x0020_pošta>
    <_dlc_DocId xmlns="e59f918f-0f86-4ad2-9273-6ec6592addeb">IZHOD-960-89</_dlc_DocId>
    <_dlc_DocIdUrl xmlns="e59f918f-0f86-4ad2-9273-6ec6592addeb">
      <Url>https://eis.borzen.local/SOJ/_layouts/15/DocIdRedir.aspx?ID=IZHOD-960-89</Url>
      <Description>IZHOD-960-89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DC0EEFCDBDA4AAF00666F07BC87FC" ma:contentTypeVersion="1" ma:contentTypeDescription="Create a new document." ma:contentTypeScope="" ma:versionID="b35d176f703e0ec3fd458375a1ec96d9">
  <xsd:schema xmlns:xsd="http://www.w3.org/2001/XMLSchema" xmlns:xs="http://www.w3.org/2001/XMLSchema" xmlns:p="http://schemas.microsoft.com/office/2006/metadata/properties" xmlns:ns2="e59f918f-0f86-4ad2-9273-6ec6592addeb" targetNamespace="http://schemas.microsoft.com/office/2006/metadata/properties" ma:root="true" ma:fieldsID="4ff53c172e2497ef0d9883efe046ebad"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21857-57AC-4D30-9490-6D96131E9B86}">
  <ds:schemaRefs>
    <ds:schemaRef ds:uri="http://schemas.microsoft.com/office/2006/metadata/properties"/>
    <ds:schemaRef ds:uri="http://schemas.microsoft.com/office/infopath/2007/PartnerControls"/>
    <ds:schemaRef ds:uri="e59f918f-0f86-4ad2-9273-6ec6592addeb"/>
  </ds:schemaRefs>
</ds:datastoreItem>
</file>

<file path=customXml/itemProps2.xml><?xml version="1.0" encoding="utf-8"?>
<ds:datastoreItem xmlns:ds="http://schemas.openxmlformats.org/officeDocument/2006/customXml" ds:itemID="{8DD4F312-3673-41AC-A19F-D15CDEB2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customXml/itemProps4.xml><?xml version="1.0" encoding="utf-8"?>
<ds:datastoreItem xmlns:ds="http://schemas.openxmlformats.org/officeDocument/2006/customXml" ds:itemID="{B0B457B5-F5AA-4810-8F7A-046180D290B1}">
  <ds:schemaRefs>
    <ds:schemaRef ds:uri="http://schemas.microsoft.com/sharepoint/events"/>
  </ds:schemaRefs>
</ds:datastoreItem>
</file>

<file path=customXml/itemProps5.xml><?xml version="1.0" encoding="utf-8"?>
<ds:datastoreItem xmlns:ds="http://schemas.openxmlformats.org/officeDocument/2006/customXml" ds:itemID="{957023C1-F63B-417A-AD87-B13EE6064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3</cp:revision>
  <dcterms:created xsi:type="dcterms:W3CDTF">2026-03-12T08:26:00Z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y fmtid="{D5CDD505-2E9C-101B-9397-08002B2CF9AE}" pid="10" name="ContentTypeId">
    <vt:lpwstr>0x010100B0BDC0EEFCDBDA4AAF00666F07BC87FC</vt:lpwstr>
  </property>
  <property fmtid="{D5CDD505-2E9C-101B-9397-08002B2CF9AE}" pid="11" name="_dlc_DocIdItemGuid">
    <vt:lpwstr>e95c4eb6-9dce-49a9-b714-ba7b9f2a702b</vt:lpwstr>
  </property>
</Properties>
</file>